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1C" w:rsidRPr="0010731C" w:rsidRDefault="0010731C" w:rsidP="0010731C">
      <w:pPr>
        <w:spacing w:after="3"/>
        <w:ind w:left="-5"/>
        <w:jc w:val="center"/>
        <w:rPr>
          <w:sz w:val="28"/>
          <w:szCs w:val="28"/>
        </w:rPr>
      </w:pPr>
      <w:r w:rsidRPr="0010731C">
        <w:rPr>
          <w:sz w:val="28"/>
          <w:szCs w:val="28"/>
        </w:rPr>
        <w:t>Lisa Pilnik</w:t>
      </w:r>
      <w:r>
        <w:rPr>
          <w:sz w:val="28"/>
          <w:szCs w:val="28"/>
        </w:rPr>
        <w:t>—</w:t>
      </w:r>
      <w:r w:rsidRPr="0010731C">
        <w:rPr>
          <w:sz w:val="28"/>
          <w:szCs w:val="28"/>
        </w:rPr>
        <w:t>Sele</w:t>
      </w:r>
      <w:r>
        <w:rPr>
          <w:sz w:val="28"/>
          <w:szCs w:val="28"/>
        </w:rPr>
        <w:t>cted Publications</w:t>
      </w:r>
    </w:p>
    <w:p w:rsidR="0010731C" w:rsidRDefault="0010731C" w:rsidP="0010731C">
      <w:pPr>
        <w:spacing w:after="3"/>
        <w:ind w:left="-5"/>
        <w:rPr>
          <w:i/>
        </w:rPr>
      </w:pPr>
    </w:p>
    <w:p w:rsidR="0010731C" w:rsidRDefault="0010731C" w:rsidP="0010731C">
      <w:pPr>
        <w:spacing w:after="3"/>
        <w:ind w:left="-5"/>
      </w:pPr>
      <w:r w:rsidRPr="000445E4">
        <w:rPr>
          <w:i/>
        </w:rPr>
        <w:t>Improving Responses to Youth Charged with Status Offenses: A Training Curriculum</w:t>
      </w:r>
      <w:r>
        <w:rPr>
          <w:i/>
        </w:rPr>
        <w:t xml:space="preserve">. </w:t>
      </w:r>
      <w:r>
        <w:t>Coalition for Juvenile Justice, May 2015.</w:t>
      </w:r>
    </w:p>
    <w:p w:rsidR="0010731C" w:rsidRDefault="0010731C" w:rsidP="0010731C">
      <w:pPr>
        <w:spacing w:after="3"/>
        <w:ind w:left="-5"/>
        <w:rPr>
          <w:i/>
        </w:rPr>
      </w:pPr>
    </w:p>
    <w:p w:rsidR="0010731C" w:rsidRPr="005E089C" w:rsidRDefault="0010731C" w:rsidP="0010731C">
      <w:pPr>
        <w:spacing w:after="3"/>
        <w:ind w:left="-5"/>
        <w:rPr>
          <w:i/>
        </w:rPr>
      </w:pPr>
      <w:r w:rsidRPr="005E089C">
        <w:rPr>
          <w:i/>
        </w:rPr>
        <w:t>The School to Prison Pipeline: Incarceration Replacing Education is a Public Health Issue</w:t>
      </w:r>
      <w:r>
        <w:rPr>
          <w:i/>
        </w:rPr>
        <w:t xml:space="preserve">. </w:t>
      </w:r>
      <w:r w:rsidRPr="005E089C">
        <w:rPr>
          <w:sz w:val="20"/>
          <w:szCs w:val="20"/>
        </w:rPr>
        <w:t>CITYLIGHTS</w:t>
      </w:r>
      <w:r>
        <w:t>, March 2015.</w:t>
      </w:r>
      <w:bookmarkStart w:id="0" w:name="_GoBack"/>
      <w:bookmarkEnd w:id="0"/>
    </w:p>
    <w:p w:rsidR="0010731C" w:rsidRPr="000445E4" w:rsidRDefault="0010731C" w:rsidP="0010731C">
      <w:pPr>
        <w:spacing w:after="3"/>
        <w:ind w:left="0" w:firstLine="0"/>
      </w:pPr>
    </w:p>
    <w:p w:rsidR="0010731C" w:rsidRPr="00EA7227" w:rsidRDefault="0010731C" w:rsidP="0010731C">
      <w:pPr>
        <w:spacing w:after="3"/>
        <w:ind w:left="-5"/>
      </w:pPr>
      <w:r w:rsidRPr="00EA7227">
        <w:rPr>
          <w:i/>
        </w:rPr>
        <w:t>40 Years of the JJDPA: Celebrating Accomplishments and Advocating for Greater Change</w:t>
      </w:r>
      <w:r>
        <w:rPr>
          <w:i/>
        </w:rPr>
        <w:t xml:space="preserve">. </w:t>
      </w:r>
      <w:r>
        <w:t>NACC Child Law Blog, September 2014.</w:t>
      </w:r>
    </w:p>
    <w:p w:rsidR="0010731C" w:rsidRDefault="0010731C" w:rsidP="0010731C">
      <w:pPr>
        <w:spacing w:after="3"/>
        <w:ind w:left="-5"/>
        <w:rPr>
          <w:i/>
        </w:rPr>
      </w:pPr>
    </w:p>
    <w:p w:rsidR="0010731C" w:rsidRDefault="0010731C" w:rsidP="0010731C">
      <w:pPr>
        <w:spacing w:after="3"/>
        <w:ind w:left="-5"/>
      </w:pPr>
      <w:r>
        <w:rPr>
          <w:i/>
        </w:rPr>
        <w:t xml:space="preserve">Self-Harm: Identifying and Supporting Teens who </w:t>
      </w:r>
      <w:proofErr w:type="gramStart"/>
      <w:r>
        <w:rPr>
          <w:i/>
        </w:rPr>
        <w:t>Intentionally</w:t>
      </w:r>
      <w:proofErr w:type="gramEnd"/>
      <w:r>
        <w:rPr>
          <w:i/>
        </w:rPr>
        <w:t xml:space="preserve"> Hurt Themselves. </w:t>
      </w:r>
      <w:r>
        <w:t>Youth Today,</w:t>
      </w:r>
      <w:r>
        <w:rPr>
          <w:i/>
        </w:rPr>
        <w:t xml:space="preserve"> </w:t>
      </w:r>
      <w:r>
        <w:t xml:space="preserve">January 2014.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(Co-Author) </w:t>
      </w:r>
      <w:r w:rsidRPr="00EA7227">
        <w:rPr>
          <w:i/>
        </w:rPr>
        <w:t>National Standards for the Care of Youth Charged with Status Offenses</w:t>
      </w:r>
      <w:r>
        <w:rPr>
          <w:i/>
        </w:rPr>
        <w:t xml:space="preserve">. </w:t>
      </w:r>
      <w:r>
        <w:t>Coalition for Juvenile Justice, December 2013.</w:t>
      </w:r>
    </w:p>
    <w:p w:rsidR="0010731C" w:rsidRPr="00EA7227" w:rsidRDefault="0010731C" w:rsidP="0010731C">
      <w:pPr>
        <w:spacing w:after="0" w:line="259" w:lineRule="auto"/>
        <w:ind w:left="0" w:firstLine="0"/>
      </w:pPr>
    </w:p>
    <w:p w:rsidR="0010731C" w:rsidRDefault="0010731C" w:rsidP="0010731C">
      <w:pPr>
        <w:spacing w:after="3"/>
        <w:ind w:left="-5"/>
      </w:pPr>
      <w:r>
        <w:rPr>
          <w:i/>
        </w:rPr>
        <w:t xml:space="preserve">Increasing Access to Higher Education: Tips for Youth-Serving Professionals. </w:t>
      </w:r>
      <w:r>
        <w:t xml:space="preserve">Youth Today, September 2013.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rPr>
          <w:i/>
        </w:rPr>
        <w:t xml:space="preserve">Helping Can Hurt: Steps Professionals Can Take to Prevent Secondary Traumatic Stress. </w:t>
      </w:r>
      <w:r>
        <w:t xml:space="preserve">Youth Today, June 2013.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t xml:space="preserve">(Co-Author) </w:t>
      </w:r>
      <w:r>
        <w:rPr>
          <w:i/>
        </w:rPr>
        <w:t xml:space="preserve">Identifying </w:t>
      </w:r>
      <w:proofErr w:type="spellStart"/>
      <w:r>
        <w:rPr>
          <w:i/>
        </w:rPr>
        <w:t>Polyvictimization</w:t>
      </w:r>
      <w:proofErr w:type="spellEnd"/>
      <w:r>
        <w:rPr>
          <w:i/>
        </w:rPr>
        <w:t xml:space="preserve"> and Trauma </w:t>
      </w:r>
      <w:proofErr w:type="gramStart"/>
      <w:r>
        <w:rPr>
          <w:i/>
        </w:rPr>
        <w:t>Among</w:t>
      </w:r>
      <w:proofErr w:type="gramEnd"/>
      <w:r>
        <w:rPr>
          <w:i/>
        </w:rPr>
        <w:t xml:space="preserve"> Court-Involved Children and Youth: A Checklist and Resource Guide for Attorneys and Other Court-Appointed Advocates.</w:t>
      </w:r>
      <w:r>
        <w:t xml:space="preserve"> Safe Start Center, Office of Juvenile Justice and Delinquency Prevention, Office of Justice Programs, U.S. Department of Justice (2012). 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 </w:t>
      </w:r>
    </w:p>
    <w:p w:rsidR="0010731C" w:rsidRDefault="0010731C" w:rsidP="0010731C">
      <w:pPr>
        <w:ind w:left="-5"/>
      </w:pPr>
      <w:r>
        <w:t xml:space="preserve">(Co-Author) </w:t>
      </w:r>
      <w:r>
        <w:rPr>
          <w:i/>
        </w:rPr>
        <w:t>Victimization and Trauma Experienced by Children and Youth: Implications for Legal Advocates.</w:t>
      </w:r>
      <w:r>
        <w:t xml:space="preserve"> Issue Brief #7, Moving From Evidence to Action: The Safe Start Series on Children Exposed to Violence. Safe Start Center, Office of Juvenile Justice and Delinquency Prevention, 2012.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t xml:space="preserve">(Co-Author) </w:t>
      </w:r>
      <w:r>
        <w:rPr>
          <w:i/>
        </w:rPr>
        <w:t>Tips for Courts on Engaging and Welcoming Fathers Involved in Child Protection Proceedings</w:t>
      </w:r>
      <w:r>
        <w:t>, Englewood, CO: American Humane Association, P</w:t>
      </w:r>
      <w:r>
        <w:rPr>
          <w:sz w:val="18"/>
        </w:rPr>
        <w:t xml:space="preserve">ROTECTING </w:t>
      </w:r>
      <w:r>
        <w:t>C</w:t>
      </w:r>
      <w:r>
        <w:rPr>
          <w:sz w:val="18"/>
        </w:rPr>
        <w:t>HILDREN</w:t>
      </w:r>
      <w:r>
        <w:rPr>
          <w:i/>
        </w:rPr>
        <w:t>,</w:t>
      </w:r>
      <w:r>
        <w:t xml:space="preserve"> </w:t>
      </w:r>
      <w:proofErr w:type="gramStart"/>
      <w:r>
        <w:t>Winter</w:t>
      </w:r>
      <w:proofErr w:type="gramEnd"/>
      <w:r>
        <w:t xml:space="preserve"> 2012. </w:t>
      </w:r>
    </w:p>
    <w:p w:rsidR="0010731C" w:rsidRDefault="0010731C" w:rsidP="0010731C">
      <w:pPr>
        <w:spacing w:after="2" w:line="259" w:lineRule="auto"/>
        <w:ind w:left="0" w:firstLine="0"/>
      </w:pPr>
      <w:r>
        <w:t xml:space="preserve"> </w:t>
      </w:r>
    </w:p>
    <w:p w:rsidR="0010731C" w:rsidRDefault="0010731C" w:rsidP="0010731C">
      <w:pPr>
        <w:ind w:left="-5"/>
      </w:pPr>
      <w:r>
        <w:t xml:space="preserve">(Co-Author) “Personal Safety: Addressing Interpersonal and Family Violence in the Health and Legal </w:t>
      </w:r>
    </w:p>
    <w:p w:rsidR="0010731C" w:rsidRDefault="0010731C" w:rsidP="0010731C">
      <w:pPr>
        <w:ind w:left="-5"/>
      </w:pPr>
      <w:r>
        <w:t xml:space="preserve">Systems” in Poverty, Health and Law: Readings and Cases for Medical-Legal Partnership.  Carolina Academic Press (2011).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t xml:space="preserve">(Co-author) </w:t>
      </w:r>
      <w:r>
        <w:rPr>
          <w:i/>
        </w:rPr>
        <w:t>How Health Care Reform Helps Children in or at Risk of Entering the Child Welfare System</w:t>
      </w:r>
      <w:r>
        <w:t>. Washington, DC: ABA C</w:t>
      </w:r>
      <w:r>
        <w:rPr>
          <w:sz w:val="18"/>
        </w:rPr>
        <w:t xml:space="preserve">HILD </w:t>
      </w:r>
      <w:r>
        <w:t>L</w:t>
      </w:r>
      <w:r>
        <w:rPr>
          <w:sz w:val="18"/>
        </w:rPr>
        <w:t xml:space="preserve">AW </w:t>
      </w:r>
      <w:r>
        <w:t>P</w:t>
      </w:r>
      <w:r>
        <w:rPr>
          <w:sz w:val="18"/>
        </w:rPr>
        <w:t>RACTICE</w:t>
      </w:r>
      <w:r>
        <w:t xml:space="preserve"> 29 (3), May 2010. </w:t>
      </w:r>
    </w:p>
    <w:p w:rsidR="0010731C" w:rsidRDefault="0010731C" w:rsidP="0010731C">
      <w:pPr>
        <w:spacing w:after="2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t xml:space="preserve">(Co-Author) </w:t>
      </w:r>
      <w:r>
        <w:rPr>
          <w:i/>
        </w:rPr>
        <w:t>Healthy Beginnings, Healthy Futures: A Judge’s Guide</w:t>
      </w:r>
      <w:r>
        <w:t>,</w:t>
      </w:r>
      <w:r>
        <w:rPr>
          <w:i/>
        </w:rPr>
        <w:t xml:space="preserve"> </w:t>
      </w:r>
      <w:r>
        <w:t xml:space="preserve">American Bar Assoc. (2009).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t xml:space="preserve">(Curriculum Developer) </w:t>
      </w:r>
      <w:r>
        <w:rPr>
          <w:i/>
        </w:rPr>
        <w:t>Advocating for Nonresident Fathers in Child Welfare Court Cases: A Training Curriculum</w:t>
      </w:r>
      <w:r>
        <w:t xml:space="preserve">, American Bar Assoc. (2009).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rPr>
          <w:i/>
        </w:rPr>
        <w:lastRenderedPageBreak/>
        <w:t>Engaging Incarcerated Fathers of Children in Foster Care: An Ideal Opportunity for Public/Private Partnership</w:t>
      </w:r>
      <w:r>
        <w:t xml:space="preserve">, </w:t>
      </w:r>
      <w:proofErr w:type="spellStart"/>
      <w:r>
        <w:t>Grantmakers</w:t>
      </w:r>
      <w:proofErr w:type="spellEnd"/>
      <w:r>
        <w:t xml:space="preserve"> for Children, Youth, and Families’ I</w:t>
      </w:r>
      <w:r>
        <w:rPr>
          <w:sz w:val="18"/>
        </w:rPr>
        <w:t>NSIGHT</w:t>
      </w:r>
      <w:r>
        <w:t xml:space="preserve"> (Winter 2009).  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rPr>
          <w:i/>
        </w:rPr>
        <w:t>Improving the Health of Children and Adolescents in Foster Care: Opportunities for Urban MCH,</w:t>
      </w:r>
      <w:r>
        <w:t xml:space="preserve"> C</w:t>
      </w:r>
      <w:r>
        <w:rPr>
          <w:sz w:val="18"/>
        </w:rPr>
        <w:t>ITY</w:t>
      </w:r>
      <w:r>
        <w:t>L</w:t>
      </w:r>
      <w:r>
        <w:rPr>
          <w:sz w:val="18"/>
        </w:rPr>
        <w:t>IGHTS</w:t>
      </w:r>
      <w:r>
        <w:t xml:space="preserve"> (2009).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t xml:space="preserve">(Co-Author) </w:t>
      </w:r>
      <w:r>
        <w:rPr>
          <w:i/>
        </w:rPr>
        <w:t>Healthy Attachment for Very Young Children in Foster Care,</w:t>
      </w:r>
      <w:r>
        <w:t xml:space="preserve"> 27 ABA C</w:t>
      </w:r>
      <w:r>
        <w:rPr>
          <w:sz w:val="18"/>
        </w:rPr>
        <w:t xml:space="preserve">HILD </w:t>
      </w:r>
      <w:r>
        <w:t>L</w:t>
      </w:r>
      <w:r>
        <w:rPr>
          <w:sz w:val="18"/>
        </w:rPr>
        <w:t xml:space="preserve">AW </w:t>
      </w:r>
      <w:r>
        <w:t>P</w:t>
      </w:r>
      <w:r>
        <w:rPr>
          <w:sz w:val="18"/>
        </w:rPr>
        <w:t>RACTICE</w:t>
      </w:r>
      <w:r>
        <w:t xml:space="preserve"> 6 (Aug. 2008).   </w:t>
      </w:r>
    </w:p>
    <w:p w:rsidR="0010731C" w:rsidRDefault="0010731C" w:rsidP="0010731C">
      <w:pPr>
        <w:spacing w:after="0" w:line="259" w:lineRule="auto"/>
        <w:ind w:left="0" w:firstLine="0"/>
      </w:pPr>
      <w:r>
        <w:t xml:space="preserve"> </w:t>
      </w:r>
    </w:p>
    <w:p w:rsidR="0010731C" w:rsidRDefault="0010731C" w:rsidP="0010731C">
      <w:pPr>
        <w:spacing w:after="3"/>
        <w:ind w:left="-5"/>
      </w:pPr>
      <w:r>
        <w:rPr>
          <w:i/>
        </w:rPr>
        <w:t>Youth Suicide and Self-Harm: What Advocates Need to Know</w:t>
      </w:r>
      <w:r>
        <w:t>, 27 ABA C</w:t>
      </w:r>
      <w:r>
        <w:rPr>
          <w:sz w:val="18"/>
        </w:rPr>
        <w:t xml:space="preserve">HILD </w:t>
      </w:r>
      <w:r>
        <w:t>L</w:t>
      </w:r>
      <w:r>
        <w:rPr>
          <w:sz w:val="18"/>
        </w:rPr>
        <w:t xml:space="preserve">AW </w:t>
      </w:r>
      <w:r>
        <w:t>P</w:t>
      </w:r>
      <w:r>
        <w:rPr>
          <w:sz w:val="18"/>
        </w:rPr>
        <w:t>RACTICE</w:t>
      </w:r>
      <w:r>
        <w:t xml:space="preserve"> 4 (June 2008).    </w:t>
      </w:r>
    </w:p>
    <w:p w:rsidR="00060FCF" w:rsidRDefault="0010731C"/>
    <w:sectPr w:rsidR="0006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C"/>
    <w:rsid w:val="0010731C"/>
    <w:rsid w:val="00173733"/>
    <w:rsid w:val="009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8411C-9193-4290-9328-F6BA429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1C"/>
    <w:pPr>
      <w:spacing w:after="12" w:line="248" w:lineRule="auto"/>
      <w:ind w:left="19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LisaPG</dc:creator>
  <cp:keywords/>
  <dc:description/>
  <cp:lastModifiedBy>LisaPG</cp:lastModifiedBy>
  <cp:revision>1</cp:revision>
  <dcterms:created xsi:type="dcterms:W3CDTF">2015-10-28T14:46:00Z</dcterms:created>
  <dcterms:modified xsi:type="dcterms:W3CDTF">2015-10-28T14:48:00Z</dcterms:modified>
</cp:coreProperties>
</file>